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 w:hAnsi="????" w:cs="宋体"/>
          <w:color w:val="auto"/>
          <w:sz w:val="24"/>
          <w:szCs w:val="24"/>
          <w:shd w:val="clear" w:color="auto" w:fill="FFFFFF"/>
        </w:rPr>
      </w:pPr>
      <w:r>
        <w:rPr>
          <w:rFonts w:hint="eastAsia" w:ascii="????" w:hAnsi="????" w:cs="宋体"/>
          <w:color w:val="auto"/>
          <w:sz w:val="24"/>
          <w:szCs w:val="24"/>
          <w:shd w:val="clear" w:color="auto" w:fill="FFFFFF"/>
        </w:rPr>
        <w:t>附件1</w:t>
      </w:r>
    </w:p>
    <w:p>
      <w:pPr>
        <w:jc w:val="center"/>
        <w:rPr>
          <w:rFonts w:ascii="????" w:hAnsi="????" w:cs="????"/>
          <w:b/>
          <w:bCs/>
          <w:color w:val="auto"/>
          <w:sz w:val="31"/>
          <w:szCs w:val="31"/>
          <w:shd w:val="clear" w:color="auto" w:fill="FFFFFF"/>
        </w:rPr>
      </w:pPr>
      <w:r>
        <w:rPr>
          <w:rFonts w:hint="eastAsia" w:ascii="????" w:hAnsi="????" w:cs="宋体"/>
          <w:b/>
          <w:bCs/>
          <w:color w:val="auto"/>
          <w:sz w:val="31"/>
          <w:szCs w:val="31"/>
          <w:shd w:val="clear" w:color="auto" w:fill="FFFFFF"/>
        </w:rPr>
        <w:t>关于新型建筑装备企业股权合作项目评分细则</w:t>
      </w:r>
    </w:p>
    <w:tbl>
      <w:tblPr>
        <w:tblStyle w:val="5"/>
        <w:tblW w:w="14485" w:type="dxa"/>
        <w:jc w:val="center"/>
        <w:tblLayout w:type="fixed"/>
        <w:tblCellMar>
          <w:top w:w="0" w:type="dxa"/>
          <w:left w:w="108" w:type="dxa"/>
          <w:bottom w:w="0" w:type="dxa"/>
          <w:right w:w="108" w:type="dxa"/>
        </w:tblCellMar>
      </w:tblPr>
      <w:tblGrid>
        <w:gridCol w:w="340"/>
        <w:gridCol w:w="746"/>
        <w:gridCol w:w="645"/>
        <w:gridCol w:w="9033"/>
        <w:gridCol w:w="3721"/>
      </w:tblGrid>
      <w:tr>
        <w:tblPrEx>
          <w:tblCellMar>
            <w:top w:w="0" w:type="dxa"/>
            <w:left w:w="108" w:type="dxa"/>
            <w:bottom w:w="0" w:type="dxa"/>
            <w:right w:w="108" w:type="dxa"/>
          </w:tblCellMar>
        </w:tblPrEx>
        <w:trPr>
          <w:cantSplit/>
          <w:trHeight w:val="942"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序号</w:t>
            </w:r>
          </w:p>
        </w:tc>
        <w:tc>
          <w:tcPr>
            <w:tcW w:w="746"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评分内容</w:t>
            </w:r>
          </w:p>
        </w:tc>
        <w:tc>
          <w:tcPr>
            <w:tcW w:w="645" w:type="dxa"/>
            <w:tcBorders>
              <w:top w:val="single" w:color="auto" w:sz="8" w:space="0"/>
              <w:left w:val="single" w:color="000000" w:sz="8" w:space="0"/>
              <w:bottom w:val="single" w:color="auto" w:sz="8"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分值设置</w:t>
            </w:r>
          </w:p>
        </w:tc>
        <w:tc>
          <w:tcPr>
            <w:tcW w:w="9033" w:type="dxa"/>
            <w:tcBorders>
              <w:top w:val="single" w:color="auto" w:sz="8" w:space="0"/>
              <w:left w:val="nil"/>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得分细则</w:t>
            </w:r>
          </w:p>
        </w:tc>
        <w:tc>
          <w:tcPr>
            <w:tcW w:w="3721" w:type="dxa"/>
            <w:tcBorders>
              <w:top w:val="single" w:color="auto" w:sz="8" w:space="0"/>
              <w:left w:val="nil"/>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备注</w:t>
            </w:r>
          </w:p>
        </w:tc>
      </w:tr>
      <w:tr>
        <w:tblPrEx>
          <w:tblCellMar>
            <w:top w:w="0" w:type="dxa"/>
            <w:left w:w="108" w:type="dxa"/>
            <w:bottom w:w="0" w:type="dxa"/>
            <w:right w:w="108" w:type="dxa"/>
          </w:tblCellMar>
        </w:tblPrEx>
        <w:trPr>
          <w:cantSplit/>
          <w:trHeight w:val="690"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1</w:t>
            </w:r>
          </w:p>
        </w:tc>
        <w:tc>
          <w:tcPr>
            <w:tcW w:w="746" w:type="dxa"/>
            <w:vMerge w:val="restart"/>
            <w:tcBorders>
              <w:left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运营能力</w:t>
            </w:r>
          </w:p>
        </w:tc>
        <w:tc>
          <w:tcPr>
            <w:tcW w:w="645" w:type="dxa"/>
            <w:tcBorders>
              <w:top w:val="nil"/>
              <w:left w:val="single" w:color="000000" w:sz="8" w:space="0"/>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20</w:t>
            </w:r>
            <w:r>
              <w:rPr>
                <w:rFonts w:hint="eastAsia" w:ascii="宋体" w:hAnsi="宋体" w:cs="宋体"/>
                <w:color w:val="auto"/>
              </w:rPr>
              <w:t>分</w:t>
            </w:r>
          </w:p>
        </w:tc>
        <w:tc>
          <w:tcPr>
            <w:tcW w:w="9033"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拟被征集企业或其控股股东（持有拟被征集企业</w:t>
            </w:r>
            <w:r>
              <w:rPr>
                <w:rFonts w:ascii="宋体" w:hAnsi="宋体" w:cs="宋体"/>
                <w:color w:val="auto"/>
              </w:rPr>
              <w:t>51%</w:t>
            </w:r>
            <w:r>
              <w:rPr>
                <w:rFonts w:hint="eastAsia" w:ascii="宋体" w:hAnsi="宋体" w:cs="宋体"/>
                <w:color w:val="auto"/>
              </w:rPr>
              <w:t>以上股权的企业法人单位，下同）</w:t>
            </w:r>
            <w:r>
              <w:rPr>
                <w:rFonts w:hint="eastAsia" w:ascii="宋体" w:hAnsi="宋体" w:cs="宋体"/>
                <w:color w:val="auto"/>
                <w:lang w:val="en-US" w:eastAsia="zh-CN"/>
              </w:rPr>
              <w:t>2019-</w:t>
            </w:r>
            <w:r>
              <w:rPr>
                <w:rFonts w:ascii="宋体" w:hAnsi="宋体" w:cs="宋体"/>
                <w:color w:val="auto"/>
              </w:rPr>
              <w:t>2021</w:t>
            </w:r>
            <w:r>
              <w:rPr>
                <w:rFonts w:hint="eastAsia" w:ascii="宋体" w:hAnsi="宋体" w:cs="宋体"/>
                <w:color w:val="auto"/>
              </w:rPr>
              <w:t>年度的主营业务（混凝土工程铝合金模板生产、销售、出租）收入</w:t>
            </w:r>
            <w:r>
              <w:rPr>
                <w:rFonts w:hint="eastAsia" w:ascii="宋体" w:hAnsi="宋体" w:cs="宋体"/>
                <w:color w:val="auto"/>
                <w:lang w:eastAsia="zh-CN"/>
              </w:rPr>
              <w:t>累计</w:t>
            </w:r>
            <w:r>
              <w:rPr>
                <w:rFonts w:hint="eastAsia" w:ascii="宋体" w:hAnsi="宋体" w:cs="宋体"/>
                <w:color w:val="auto"/>
              </w:rPr>
              <w:t>达到</w:t>
            </w:r>
            <w:r>
              <w:rPr>
                <w:rFonts w:hint="eastAsia" w:ascii="宋体" w:hAnsi="宋体" w:cs="宋体"/>
                <w:color w:val="auto"/>
                <w:lang w:val="en-US" w:eastAsia="zh-CN"/>
              </w:rPr>
              <w:t>3000</w:t>
            </w:r>
            <w:r>
              <w:rPr>
                <w:rFonts w:hint="eastAsia" w:ascii="宋体" w:hAnsi="宋体" w:cs="宋体"/>
                <w:color w:val="auto"/>
              </w:rPr>
              <w:t>万元的，得</w:t>
            </w:r>
            <w:r>
              <w:rPr>
                <w:rFonts w:ascii="宋体" w:hAnsi="宋体" w:cs="宋体"/>
                <w:color w:val="auto"/>
              </w:rPr>
              <w:t>10</w:t>
            </w:r>
            <w:r>
              <w:rPr>
                <w:rFonts w:hint="eastAsia" w:ascii="宋体" w:hAnsi="宋体" w:cs="宋体"/>
                <w:color w:val="auto"/>
              </w:rPr>
              <w:t>分，以</w:t>
            </w:r>
            <w:r>
              <w:rPr>
                <w:rFonts w:hint="eastAsia" w:ascii="宋体" w:hAnsi="宋体" w:cs="宋体"/>
                <w:color w:val="auto"/>
                <w:lang w:val="en-US" w:eastAsia="zh-CN"/>
              </w:rPr>
              <w:t>3000</w:t>
            </w:r>
            <w:r>
              <w:rPr>
                <w:rFonts w:hint="eastAsia" w:ascii="宋体" w:hAnsi="宋体" w:cs="宋体"/>
                <w:color w:val="auto"/>
              </w:rPr>
              <w:t>万元为基数，营业收入每增加百分之一得</w:t>
            </w:r>
            <w:r>
              <w:rPr>
                <w:rFonts w:ascii="宋体" w:hAnsi="宋体" w:cs="宋体"/>
                <w:color w:val="auto"/>
              </w:rPr>
              <w:t>0.1</w:t>
            </w:r>
            <w:r>
              <w:rPr>
                <w:rFonts w:hint="eastAsia" w:ascii="宋体" w:hAnsi="宋体" w:cs="宋体"/>
                <w:color w:val="auto"/>
              </w:rPr>
              <w:t>分，本项最高得分</w:t>
            </w:r>
            <w:r>
              <w:rPr>
                <w:rFonts w:ascii="宋体" w:hAnsi="宋体" w:cs="宋体"/>
                <w:color w:val="auto"/>
              </w:rPr>
              <w:t>20</w:t>
            </w:r>
            <w:r>
              <w:rPr>
                <w:rFonts w:hint="eastAsia" w:ascii="宋体" w:hAnsi="宋体" w:cs="宋体"/>
                <w:color w:val="auto"/>
              </w:rPr>
              <w:t>分。</w:t>
            </w:r>
          </w:p>
          <w:p>
            <w:pPr>
              <w:adjustRightInd w:val="0"/>
              <w:snapToGrid w:val="0"/>
              <w:spacing w:line="240" w:lineRule="atLeast"/>
              <w:rPr>
                <w:rFonts w:ascii="宋体"/>
                <w:color w:val="auto"/>
              </w:rPr>
            </w:pPr>
            <w:r>
              <w:rPr>
                <w:rFonts w:hint="eastAsia" w:ascii="宋体" w:hAnsi="宋体" w:cs="宋体"/>
                <w:color w:val="auto"/>
              </w:rPr>
              <w:t>（报名企业应根据“纳税申报表”和“完税证明”汇总统计营业收入并编制汇总统计表）</w:t>
            </w:r>
            <w:r>
              <w:rPr>
                <w:rFonts w:ascii="宋体" w:hAnsi="宋体" w:cs="宋体"/>
                <w:color w:val="auto"/>
              </w:rPr>
              <w:t xml:space="preserve"> </w:t>
            </w:r>
          </w:p>
        </w:tc>
        <w:tc>
          <w:tcPr>
            <w:tcW w:w="3721"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报名时须提供截至到</w:t>
            </w:r>
            <w:r>
              <w:rPr>
                <w:rFonts w:ascii="宋体" w:hAnsi="宋体" w:cs="宋体"/>
                <w:color w:val="auto"/>
              </w:rPr>
              <w:t>2021</w:t>
            </w:r>
            <w:r>
              <w:rPr>
                <w:rFonts w:hint="eastAsia" w:ascii="宋体" w:hAnsi="宋体" w:cs="宋体"/>
                <w:color w:val="auto"/>
              </w:rPr>
              <w:t>年</w:t>
            </w:r>
            <w:r>
              <w:rPr>
                <w:rFonts w:ascii="宋体" w:hAnsi="宋体" w:cs="宋体"/>
                <w:color w:val="auto"/>
              </w:rPr>
              <w:t>12</w:t>
            </w:r>
            <w:r>
              <w:rPr>
                <w:rFonts w:hint="eastAsia" w:ascii="宋体" w:hAnsi="宋体" w:cs="宋体"/>
                <w:color w:val="auto"/>
              </w:rPr>
              <w:t>月</w:t>
            </w:r>
            <w:r>
              <w:rPr>
                <w:rFonts w:ascii="宋体" w:hAnsi="宋体" w:cs="宋体"/>
                <w:color w:val="auto"/>
              </w:rPr>
              <w:t>31</w:t>
            </w:r>
            <w:r>
              <w:rPr>
                <w:rFonts w:hint="eastAsia" w:ascii="宋体" w:hAnsi="宋体" w:cs="宋体"/>
                <w:color w:val="auto"/>
              </w:rPr>
              <w:t>日，加盖公章的纳税申报表及由纳税所在地税务部门所出具的纳税证明。</w:t>
            </w:r>
          </w:p>
        </w:tc>
      </w:tr>
      <w:tr>
        <w:tblPrEx>
          <w:tblCellMar>
            <w:top w:w="0" w:type="dxa"/>
            <w:left w:w="108" w:type="dxa"/>
            <w:bottom w:w="0" w:type="dxa"/>
            <w:right w:w="108" w:type="dxa"/>
          </w:tblCellMar>
        </w:tblPrEx>
        <w:trPr>
          <w:cantSplit/>
          <w:trHeight w:val="781"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2</w:t>
            </w:r>
          </w:p>
        </w:tc>
        <w:tc>
          <w:tcPr>
            <w:tcW w:w="746" w:type="dxa"/>
            <w:vMerge w:val="continue"/>
            <w:tcBorders>
              <w:left w:val="single" w:color="000000" w:sz="8" w:space="0"/>
              <w:right w:val="single" w:color="000000" w:sz="8" w:space="0"/>
            </w:tcBorders>
            <w:noWrap/>
            <w:vAlign w:val="center"/>
          </w:tcPr>
          <w:p>
            <w:pPr>
              <w:adjustRightInd w:val="0"/>
              <w:snapToGrid w:val="0"/>
              <w:spacing w:line="240" w:lineRule="atLeast"/>
              <w:jc w:val="center"/>
              <w:rPr>
                <w:rFonts w:ascii="宋体"/>
                <w:color w:val="auto"/>
              </w:rPr>
            </w:pPr>
          </w:p>
        </w:tc>
        <w:tc>
          <w:tcPr>
            <w:tcW w:w="645" w:type="dxa"/>
            <w:tcBorders>
              <w:top w:val="nil"/>
              <w:left w:val="single" w:color="000000" w:sz="8" w:space="0"/>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20</w:t>
            </w:r>
            <w:r>
              <w:rPr>
                <w:rFonts w:hint="eastAsia" w:ascii="宋体" w:hAnsi="宋体" w:cs="宋体"/>
                <w:color w:val="auto"/>
              </w:rPr>
              <w:t>分</w:t>
            </w:r>
          </w:p>
        </w:tc>
        <w:tc>
          <w:tcPr>
            <w:tcW w:w="9033"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highlight w:val="yellow"/>
              </w:rPr>
            </w:pPr>
            <w:r>
              <w:rPr>
                <w:rFonts w:hint="eastAsia" w:ascii="宋体" w:hAnsi="宋体" w:cs="宋体"/>
                <w:color w:val="auto"/>
              </w:rPr>
              <w:t>拟被征集企业或其控股股东往期承接项目的数量达到</w:t>
            </w:r>
            <w:r>
              <w:rPr>
                <w:rFonts w:ascii="宋体" w:hAnsi="宋体" w:cs="宋体"/>
                <w:color w:val="auto"/>
              </w:rPr>
              <w:t xml:space="preserve"> 15</w:t>
            </w:r>
            <w:r>
              <w:rPr>
                <w:rFonts w:hint="eastAsia" w:ascii="宋体" w:hAnsi="宋体" w:cs="宋体"/>
                <w:color w:val="auto"/>
              </w:rPr>
              <w:t>个的，得10分，单个项目金额在</w:t>
            </w:r>
            <w:r>
              <w:rPr>
                <w:rFonts w:ascii="宋体" w:hAnsi="宋体" w:cs="宋体"/>
                <w:color w:val="auto"/>
              </w:rPr>
              <w:t>500</w:t>
            </w:r>
            <w:r>
              <w:rPr>
                <w:rFonts w:hint="eastAsia" w:ascii="宋体" w:hAnsi="宋体" w:cs="宋体"/>
                <w:color w:val="auto"/>
              </w:rPr>
              <w:t>万元以上且数量不少于</w:t>
            </w:r>
            <w:r>
              <w:rPr>
                <w:rFonts w:ascii="宋体" w:hAnsi="宋体" w:cs="宋体"/>
                <w:color w:val="auto"/>
              </w:rPr>
              <w:t>5</w:t>
            </w:r>
            <w:r>
              <w:rPr>
                <w:rFonts w:hint="eastAsia" w:ascii="宋体" w:hAnsi="宋体" w:cs="宋体"/>
                <w:color w:val="auto"/>
              </w:rPr>
              <w:t>个的得</w:t>
            </w:r>
            <w:r>
              <w:rPr>
                <w:rFonts w:ascii="宋体" w:hAnsi="宋体" w:cs="宋体"/>
                <w:color w:val="auto"/>
              </w:rPr>
              <w:t>5</w:t>
            </w:r>
            <w:r>
              <w:rPr>
                <w:rFonts w:hint="eastAsia" w:ascii="宋体" w:hAnsi="宋体" w:cs="宋体"/>
                <w:color w:val="auto"/>
              </w:rPr>
              <w:t>分；往期承接项目的数量达到</w:t>
            </w:r>
            <w:r>
              <w:rPr>
                <w:rFonts w:ascii="宋体" w:hAnsi="宋体" w:cs="宋体"/>
                <w:color w:val="auto"/>
              </w:rPr>
              <w:t>15</w:t>
            </w:r>
            <w:r>
              <w:rPr>
                <w:rFonts w:hint="eastAsia" w:ascii="宋体" w:hAnsi="宋体" w:cs="宋体"/>
                <w:color w:val="auto"/>
              </w:rPr>
              <w:t>个以上的，每超过</w:t>
            </w:r>
            <w:r>
              <w:rPr>
                <w:rFonts w:ascii="宋体" w:hAnsi="宋体" w:cs="宋体"/>
                <w:color w:val="auto"/>
              </w:rPr>
              <w:t>1</w:t>
            </w:r>
            <w:r>
              <w:rPr>
                <w:rFonts w:hint="eastAsia" w:ascii="宋体" w:hAnsi="宋体" w:cs="宋体"/>
                <w:color w:val="auto"/>
              </w:rPr>
              <w:t>个的得</w:t>
            </w:r>
            <w:r>
              <w:rPr>
                <w:rFonts w:ascii="宋体" w:hAnsi="宋体" w:cs="宋体"/>
                <w:color w:val="auto"/>
              </w:rPr>
              <w:t>0.5</w:t>
            </w:r>
            <w:r>
              <w:rPr>
                <w:rFonts w:hint="eastAsia" w:ascii="宋体" w:hAnsi="宋体" w:cs="宋体"/>
                <w:color w:val="auto"/>
              </w:rPr>
              <w:t>分；本项最高得分</w:t>
            </w:r>
            <w:r>
              <w:rPr>
                <w:rFonts w:ascii="宋体" w:hAnsi="宋体" w:cs="宋体"/>
                <w:color w:val="auto"/>
              </w:rPr>
              <w:t>20</w:t>
            </w:r>
            <w:r>
              <w:rPr>
                <w:rFonts w:hint="eastAsia" w:ascii="宋体" w:hAnsi="宋体" w:cs="宋体"/>
                <w:color w:val="auto"/>
              </w:rPr>
              <w:t>分。</w:t>
            </w:r>
          </w:p>
        </w:tc>
        <w:tc>
          <w:tcPr>
            <w:tcW w:w="3721"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报名时须提供加盖公章的合同（协议）复印件（原件备查）。</w:t>
            </w:r>
          </w:p>
        </w:tc>
      </w:tr>
      <w:tr>
        <w:tblPrEx>
          <w:tblCellMar>
            <w:top w:w="0" w:type="dxa"/>
            <w:left w:w="108" w:type="dxa"/>
            <w:bottom w:w="0" w:type="dxa"/>
            <w:right w:w="108" w:type="dxa"/>
          </w:tblCellMar>
        </w:tblPrEx>
        <w:trPr>
          <w:cantSplit/>
          <w:trHeight w:val="797"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3</w:t>
            </w:r>
          </w:p>
        </w:tc>
        <w:tc>
          <w:tcPr>
            <w:tcW w:w="746" w:type="dxa"/>
            <w:vMerge w:val="continue"/>
            <w:tcBorders>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p>
        </w:tc>
        <w:tc>
          <w:tcPr>
            <w:tcW w:w="645" w:type="dxa"/>
            <w:tcBorders>
              <w:top w:val="nil"/>
              <w:left w:val="single" w:color="000000" w:sz="8" w:space="0"/>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5</w:t>
            </w:r>
            <w:r>
              <w:rPr>
                <w:rFonts w:hint="eastAsia" w:ascii="宋体" w:hAnsi="宋体" w:cs="宋体"/>
                <w:color w:val="auto"/>
              </w:rPr>
              <w:t>分</w:t>
            </w:r>
          </w:p>
        </w:tc>
        <w:tc>
          <w:tcPr>
            <w:tcW w:w="9033"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自营业执照载明的成立日期起算,截止日期为公告发布之日</w:t>
            </w:r>
            <w:r>
              <w:rPr>
                <w:rFonts w:hint="eastAsia" w:ascii="宋体" w:hAnsi="宋体" w:cs="宋体"/>
                <w:color w:val="auto"/>
                <w:lang w:eastAsia="zh-CN"/>
              </w:rPr>
              <w:t>，</w:t>
            </w:r>
            <w:r>
              <w:rPr>
                <w:rFonts w:hint="eastAsia" w:ascii="宋体" w:hAnsi="宋体" w:cs="宋体"/>
                <w:color w:val="auto"/>
              </w:rPr>
              <w:t>拟被征集企业的存续期限低于3年的不得分，存续期限达到3年的得2分，每增加1年存续时间得1分，本项最高得分</w:t>
            </w:r>
            <w:r>
              <w:rPr>
                <w:rFonts w:ascii="宋体" w:hAnsi="宋体" w:cs="宋体"/>
                <w:color w:val="auto"/>
              </w:rPr>
              <w:t>5</w:t>
            </w:r>
            <w:r>
              <w:rPr>
                <w:rFonts w:hint="eastAsia" w:ascii="宋体" w:hAnsi="宋体" w:cs="宋体"/>
                <w:color w:val="auto"/>
              </w:rPr>
              <w:t>分。</w:t>
            </w:r>
          </w:p>
        </w:tc>
        <w:tc>
          <w:tcPr>
            <w:tcW w:w="3721"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以提供拟被征集企业的营业执照的原件及其加盖公章的复印件为评分依据。</w:t>
            </w:r>
          </w:p>
        </w:tc>
      </w:tr>
      <w:tr>
        <w:tblPrEx>
          <w:tblCellMar>
            <w:top w:w="0" w:type="dxa"/>
            <w:left w:w="108" w:type="dxa"/>
            <w:bottom w:w="0" w:type="dxa"/>
            <w:right w:w="108" w:type="dxa"/>
          </w:tblCellMar>
        </w:tblPrEx>
        <w:trPr>
          <w:cantSplit/>
          <w:trHeight w:val="851"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4</w:t>
            </w:r>
          </w:p>
        </w:tc>
        <w:tc>
          <w:tcPr>
            <w:tcW w:w="746" w:type="dxa"/>
            <w:tcBorders>
              <w:left w:val="single" w:color="000000" w:sz="8" w:space="0"/>
              <w:bottom w:val="single" w:color="auto" w:sz="4"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人员指标</w:t>
            </w:r>
          </w:p>
        </w:tc>
        <w:tc>
          <w:tcPr>
            <w:tcW w:w="645" w:type="dxa"/>
            <w:tcBorders>
              <w:top w:val="nil"/>
              <w:left w:val="single" w:color="000000" w:sz="8" w:space="0"/>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10</w:t>
            </w:r>
            <w:r>
              <w:rPr>
                <w:rFonts w:hint="eastAsia" w:ascii="宋体" w:hAnsi="宋体" w:cs="宋体"/>
                <w:color w:val="auto"/>
              </w:rPr>
              <w:t>分</w:t>
            </w:r>
          </w:p>
        </w:tc>
        <w:tc>
          <w:tcPr>
            <w:tcW w:w="9033"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highlight w:val="yellow"/>
              </w:rPr>
            </w:pPr>
            <w:r>
              <w:rPr>
                <w:rFonts w:hint="eastAsia" w:ascii="宋体" w:hAnsi="宋体" w:cs="宋体"/>
                <w:color w:val="auto"/>
              </w:rPr>
              <w:t>拟被征集企业或其控股股东须有具备混凝土工程铝合金模板生产、运营管理经验的团队。</w:t>
            </w:r>
            <w:r>
              <w:rPr>
                <w:rStyle w:val="10"/>
                <w:rFonts w:hint="eastAsia" w:ascii="宋体" w:hAnsi="宋体" w:cs="宋体"/>
                <w:color w:val="auto"/>
                <w:sz w:val="21"/>
                <w:szCs w:val="21"/>
              </w:rPr>
              <w:t>其中从事混凝土工程铝合金模板一线生产型、运营管理型人员</w:t>
            </w:r>
            <w:r>
              <w:rPr>
                <w:rFonts w:hint="eastAsia" w:ascii="宋体" w:hAnsi="宋体" w:cs="宋体"/>
                <w:color w:val="auto"/>
              </w:rPr>
              <w:t>达到</w:t>
            </w:r>
            <w:r>
              <w:rPr>
                <w:rFonts w:ascii="宋体" w:hAnsi="宋体" w:cs="宋体"/>
                <w:color w:val="auto"/>
              </w:rPr>
              <w:t>10</w:t>
            </w:r>
            <w:r>
              <w:rPr>
                <w:rFonts w:hint="eastAsia" w:ascii="宋体" w:hAnsi="宋体" w:cs="宋体"/>
                <w:color w:val="auto"/>
              </w:rPr>
              <w:t>人的得</w:t>
            </w:r>
            <w:r>
              <w:rPr>
                <w:rFonts w:ascii="宋体" w:hAnsi="宋体" w:cs="宋体"/>
                <w:color w:val="auto"/>
              </w:rPr>
              <w:t>5</w:t>
            </w:r>
            <w:r>
              <w:rPr>
                <w:rFonts w:hint="eastAsia" w:ascii="宋体" w:hAnsi="宋体" w:cs="宋体"/>
                <w:color w:val="auto"/>
              </w:rPr>
              <w:t>分，每增加</w:t>
            </w:r>
            <w:r>
              <w:rPr>
                <w:rFonts w:ascii="宋体" w:hAnsi="宋体" w:cs="宋体"/>
                <w:color w:val="auto"/>
              </w:rPr>
              <w:t>1</w:t>
            </w:r>
            <w:r>
              <w:rPr>
                <w:rFonts w:hint="eastAsia" w:ascii="宋体" w:hAnsi="宋体" w:cs="宋体"/>
                <w:color w:val="auto"/>
              </w:rPr>
              <w:t>人得</w:t>
            </w:r>
            <w:r>
              <w:rPr>
                <w:rFonts w:ascii="宋体" w:hAnsi="宋体" w:cs="宋体"/>
                <w:color w:val="auto"/>
              </w:rPr>
              <w:t>0.5</w:t>
            </w:r>
            <w:r>
              <w:rPr>
                <w:rFonts w:hint="eastAsia" w:ascii="宋体" w:hAnsi="宋体" w:cs="宋体"/>
                <w:color w:val="auto"/>
              </w:rPr>
              <w:t>分，本项最高得分</w:t>
            </w:r>
            <w:r>
              <w:rPr>
                <w:rFonts w:ascii="宋体" w:hAnsi="宋体" w:cs="宋体"/>
                <w:color w:val="auto"/>
              </w:rPr>
              <w:t>10</w:t>
            </w:r>
            <w:r>
              <w:rPr>
                <w:rFonts w:hint="eastAsia" w:ascii="宋体" w:hAnsi="宋体" w:cs="宋体"/>
                <w:color w:val="auto"/>
              </w:rPr>
              <w:t>分。</w:t>
            </w:r>
          </w:p>
        </w:tc>
        <w:tc>
          <w:tcPr>
            <w:tcW w:w="3721"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以</w:t>
            </w:r>
            <w:r>
              <w:rPr>
                <w:rFonts w:hint="eastAsia" w:ascii="宋体" w:hAnsi="宋体" w:cs="宋体"/>
                <w:color w:val="auto"/>
                <w:lang w:eastAsia="zh-CN"/>
              </w:rPr>
              <w:t>提供</w:t>
            </w:r>
            <w:r>
              <w:rPr>
                <w:rFonts w:hint="eastAsia" w:ascii="宋体" w:hAnsi="宋体" w:cs="宋体"/>
                <w:color w:val="auto"/>
                <w:lang w:val="en-US" w:eastAsia="zh-CN"/>
              </w:rPr>
              <w:t>该等</w:t>
            </w:r>
            <w:r>
              <w:rPr>
                <w:rFonts w:hint="eastAsia" w:ascii="宋体" w:hAnsi="宋体" w:cs="宋体"/>
                <w:color w:val="auto"/>
                <w:lang w:eastAsia="zh-CN"/>
              </w:rPr>
              <w:t>人员</w:t>
            </w:r>
            <w:r>
              <w:rPr>
                <w:rFonts w:hint="eastAsia" w:ascii="宋体" w:hAnsi="宋体" w:cs="宋体"/>
                <w:color w:val="auto"/>
                <w:lang w:val="en-US" w:eastAsia="zh-CN"/>
              </w:rPr>
              <w:t>的</w:t>
            </w:r>
            <w:r>
              <w:rPr>
                <w:rFonts w:hint="eastAsia" w:ascii="宋体" w:hAnsi="宋体" w:cs="宋体"/>
                <w:color w:val="auto"/>
                <w:lang w:eastAsia="zh-CN"/>
              </w:rPr>
              <w:t>花名册、</w:t>
            </w:r>
            <w:r>
              <w:rPr>
                <w:rFonts w:hint="eastAsia" w:ascii="宋体" w:hAnsi="宋体" w:cs="宋体"/>
                <w:color w:val="auto"/>
              </w:rPr>
              <w:t>劳动合同</w:t>
            </w:r>
            <w:r>
              <w:rPr>
                <w:rFonts w:hint="eastAsia" w:ascii="宋体" w:hAnsi="宋体" w:cs="宋体"/>
                <w:color w:val="auto"/>
                <w:lang w:eastAsia="zh-CN"/>
              </w:rPr>
              <w:t>、</w:t>
            </w:r>
            <w:r>
              <w:rPr>
                <w:rFonts w:hint="eastAsia" w:ascii="宋体" w:hAnsi="宋体" w:cs="宋体"/>
                <w:color w:val="auto"/>
              </w:rPr>
              <w:t>缴纳社会保险证明</w:t>
            </w:r>
            <w:r>
              <w:rPr>
                <w:rFonts w:hint="eastAsia" w:ascii="宋体" w:hAnsi="宋体" w:cs="宋体"/>
                <w:color w:val="auto"/>
                <w:lang w:eastAsia="zh-CN"/>
              </w:rPr>
              <w:t>、</w:t>
            </w:r>
            <w:r>
              <w:rPr>
                <w:rFonts w:hint="eastAsia" w:ascii="宋体" w:hAnsi="宋体" w:cs="宋体"/>
                <w:color w:val="auto"/>
                <w:lang w:val="en-US" w:eastAsia="zh-CN"/>
              </w:rPr>
              <w:t>一线生产人员从业资格证加盖公章的复印件</w:t>
            </w:r>
            <w:r>
              <w:rPr>
                <w:rFonts w:hint="eastAsia" w:ascii="宋体" w:hAnsi="宋体" w:cs="宋体"/>
                <w:color w:val="auto"/>
                <w:lang w:eastAsia="zh-CN"/>
              </w:rPr>
              <w:t>为</w:t>
            </w:r>
            <w:r>
              <w:rPr>
                <w:rFonts w:hint="eastAsia" w:ascii="宋体" w:hAnsi="宋体" w:cs="宋体"/>
                <w:color w:val="auto"/>
                <w:lang w:val="en-US" w:eastAsia="zh-CN"/>
              </w:rPr>
              <w:t>评分依据（原件备查）。</w:t>
            </w:r>
          </w:p>
        </w:tc>
      </w:tr>
      <w:tr>
        <w:tblPrEx>
          <w:tblCellMar>
            <w:top w:w="0" w:type="dxa"/>
            <w:left w:w="108" w:type="dxa"/>
            <w:bottom w:w="0" w:type="dxa"/>
            <w:right w:w="108" w:type="dxa"/>
          </w:tblCellMar>
        </w:tblPrEx>
        <w:trPr>
          <w:cantSplit/>
          <w:trHeight w:val="851" w:hRule="atLeast"/>
          <w:jc w:val="center"/>
        </w:trPr>
        <w:tc>
          <w:tcPr>
            <w:tcW w:w="340" w:type="dxa"/>
            <w:tcBorders>
              <w:top w:val="single" w:color="000000" w:sz="8" w:space="0"/>
              <w:left w:val="single" w:color="000000" w:sz="8" w:space="0"/>
              <w:bottom w:val="single" w:color="000000" w:sz="8" w:space="0"/>
              <w:right w:val="single" w:color="auto" w:sz="4" w:space="0"/>
            </w:tcBorders>
            <w:noWrap/>
            <w:vAlign w:val="center"/>
          </w:tcPr>
          <w:p>
            <w:pPr>
              <w:adjustRightInd w:val="0"/>
              <w:snapToGrid w:val="0"/>
              <w:spacing w:line="240" w:lineRule="atLeast"/>
              <w:jc w:val="center"/>
              <w:rPr>
                <w:rFonts w:ascii="宋体"/>
                <w:color w:val="auto"/>
              </w:rPr>
            </w:pPr>
            <w:r>
              <w:rPr>
                <w:rFonts w:ascii="宋体" w:hAnsi="宋体" w:cs="宋体"/>
                <w:color w:val="auto"/>
              </w:rPr>
              <w:t>5</w:t>
            </w:r>
          </w:p>
        </w:tc>
        <w:tc>
          <w:tcPr>
            <w:tcW w:w="7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生产能力</w:t>
            </w:r>
          </w:p>
        </w:tc>
        <w:tc>
          <w:tcPr>
            <w:tcW w:w="645" w:type="dxa"/>
            <w:tcBorders>
              <w:top w:val="nil"/>
              <w:left w:val="single" w:color="auto" w:sz="4" w:space="0"/>
              <w:bottom w:val="single" w:color="auto" w:sz="8" w:space="0"/>
              <w:right w:val="single" w:color="auto"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15</w:t>
            </w:r>
            <w:r>
              <w:rPr>
                <w:rFonts w:hint="eastAsia" w:ascii="宋体" w:hAnsi="宋体" w:cs="宋体"/>
                <w:color w:val="auto"/>
              </w:rPr>
              <w:t>分</w:t>
            </w:r>
          </w:p>
        </w:tc>
        <w:tc>
          <w:tcPr>
            <w:tcW w:w="9033"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拟被征集企业或其控股股东须具备满足混凝土工程铝合金模板生产加工时所需房屋、厂房、设备、场地等条件，其中房屋、厂房、场地为自有产权的得</w:t>
            </w:r>
            <w:r>
              <w:rPr>
                <w:rFonts w:ascii="宋体" w:hAnsi="宋体" w:cs="宋体"/>
                <w:color w:val="auto"/>
              </w:rPr>
              <w:t>10</w:t>
            </w:r>
            <w:r>
              <w:rPr>
                <w:rFonts w:hint="eastAsia" w:ascii="宋体" w:hAnsi="宋体" w:cs="宋体"/>
                <w:color w:val="auto"/>
              </w:rPr>
              <w:t>分，为租赁产权的得</w:t>
            </w:r>
            <w:r>
              <w:rPr>
                <w:rFonts w:ascii="宋体" w:hAnsi="宋体" w:cs="宋体"/>
                <w:color w:val="auto"/>
              </w:rPr>
              <w:t>5</w:t>
            </w:r>
            <w:r>
              <w:rPr>
                <w:rFonts w:hint="eastAsia" w:ascii="宋体" w:hAnsi="宋体" w:cs="宋体"/>
                <w:color w:val="auto"/>
              </w:rPr>
              <w:t>分，具备混凝土工程铝合金模板生产加工设备的得</w:t>
            </w:r>
            <w:r>
              <w:rPr>
                <w:rFonts w:ascii="宋体" w:hAnsi="宋体" w:cs="宋体"/>
                <w:color w:val="auto"/>
              </w:rPr>
              <w:t>5</w:t>
            </w:r>
            <w:r>
              <w:rPr>
                <w:rFonts w:hint="eastAsia" w:ascii="宋体" w:hAnsi="宋体" w:cs="宋体"/>
                <w:color w:val="auto"/>
              </w:rPr>
              <w:t>分，本项最高得分</w:t>
            </w:r>
            <w:r>
              <w:rPr>
                <w:rFonts w:ascii="宋体" w:hAnsi="宋体" w:cs="宋体"/>
                <w:color w:val="auto"/>
              </w:rPr>
              <w:t>15</w:t>
            </w:r>
            <w:r>
              <w:rPr>
                <w:rFonts w:hint="eastAsia" w:ascii="宋体" w:hAnsi="宋体" w:cs="宋体"/>
                <w:color w:val="auto"/>
              </w:rPr>
              <w:t>分。</w:t>
            </w:r>
            <w:bookmarkStart w:id="0" w:name="_GoBack"/>
            <w:bookmarkEnd w:id="0"/>
          </w:p>
        </w:tc>
        <w:tc>
          <w:tcPr>
            <w:tcW w:w="3721" w:type="dxa"/>
            <w:tcBorders>
              <w:top w:val="nil"/>
              <w:left w:val="nil"/>
              <w:bottom w:val="single" w:color="auto"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以提供的不动产权属证明、租赁合同，拟被征集企业或其控股股东名义购买设备的发票和图片等证明材料为评分依据。</w:t>
            </w:r>
          </w:p>
        </w:tc>
      </w:tr>
      <w:tr>
        <w:tblPrEx>
          <w:tblCellMar>
            <w:top w:w="0" w:type="dxa"/>
            <w:left w:w="108" w:type="dxa"/>
            <w:bottom w:w="0" w:type="dxa"/>
            <w:right w:w="108" w:type="dxa"/>
          </w:tblCellMar>
        </w:tblPrEx>
        <w:trPr>
          <w:cantSplit/>
          <w:trHeight w:val="696"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6</w:t>
            </w:r>
          </w:p>
        </w:tc>
        <w:tc>
          <w:tcPr>
            <w:tcW w:w="746" w:type="dxa"/>
            <w:tcBorders>
              <w:top w:val="single" w:color="auto" w:sz="4" w:space="0"/>
              <w:left w:val="single" w:color="000000" w:sz="8" w:space="0"/>
              <w:bottom w:val="single" w:color="auto" w:sz="4"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财务指标</w:t>
            </w:r>
          </w:p>
        </w:tc>
        <w:tc>
          <w:tcPr>
            <w:tcW w:w="645" w:type="dxa"/>
            <w:tcBorders>
              <w:top w:val="single" w:color="auto" w:sz="8" w:space="0"/>
              <w:left w:val="single" w:color="auto" w:sz="8" w:space="0"/>
              <w:bottom w:val="single" w:color="000000" w:sz="8" w:space="0"/>
              <w:right w:val="single" w:color="auto"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20</w:t>
            </w:r>
            <w:r>
              <w:rPr>
                <w:rFonts w:hint="eastAsia" w:ascii="宋体" w:hAnsi="宋体" w:cs="宋体"/>
                <w:color w:val="auto"/>
              </w:rPr>
              <w:t>分</w:t>
            </w:r>
          </w:p>
        </w:tc>
        <w:tc>
          <w:tcPr>
            <w:tcW w:w="9033" w:type="dxa"/>
            <w:tcBorders>
              <w:top w:val="single" w:color="auto" w:sz="8" w:space="0"/>
              <w:left w:val="single" w:color="auto" w:sz="8" w:space="0"/>
              <w:bottom w:val="single" w:color="000000"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被征集企业的资产负债率高于</w:t>
            </w:r>
            <w:r>
              <w:rPr>
                <w:rFonts w:ascii="宋体" w:hAnsi="宋体" w:cs="宋体"/>
                <w:color w:val="auto"/>
              </w:rPr>
              <w:t>65%</w:t>
            </w:r>
            <w:r>
              <w:rPr>
                <w:rFonts w:hint="eastAsia" w:ascii="宋体" w:hAnsi="宋体" w:cs="宋体"/>
                <w:color w:val="auto"/>
              </w:rPr>
              <w:t>的全部项目不予评分，以</w:t>
            </w:r>
            <w:r>
              <w:rPr>
                <w:rFonts w:ascii="宋体" w:hAnsi="宋体" w:cs="宋体"/>
                <w:color w:val="auto"/>
              </w:rPr>
              <w:t>65%</w:t>
            </w:r>
            <w:r>
              <w:rPr>
                <w:rFonts w:hint="eastAsia" w:ascii="宋体" w:hAnsi="宋体" w:cs="宋体"/>
                <w:color w:val="auto"/>
              </w:rPr>
              <w:t>为基数，每降低</w:t>
            </w:r>
            <w:r>
              <w:rPr>
                <w:rFonts w:ascii="宋体" w:hAnsi="宋体" w:cs="宋体"/>
                <w:color w:val="auto"/>
              </w:rPr>
              <w:t>1</w:t>
            </w:r>
            <w:r>
              <w:rPr>
                <w:rFonts w:hint="eastAsia" w:ascii="宋体" w:hAnsi="宋体" w:cs="宋体"/>
                <w:color w:val="auto"/>
              </w:rPr>
              <w:t>个百分点得</w:t>
            </w:r>
            <w:r>
              <w:rPr>
                <w:rFonts w:ascii="宋体" w:hAnsi="宋体" w:cs="宋体"/>
                <w:color w:val="auto"/>
              </w:rPr>
              <w:t>0.5</w:t>
            </w:r>
            <w:r>
              <w:rPr>
                <w:rFonts w:hint="eastAsia" w:ascii="宋体" w:hAnsi="宋体" w:cs="宋体"/>
                <w:color w:val="auto"/>
              </w:rPr>
              <w:t>分，最高得</w:t>
            </w:r>
            <w:r>
              <w:rPr>
                <w:rFonts w:ascii="宋体" w:hAnsi="宋体" w:cs="宋体"/>
                <w:color w:val="auto"/>
              </w:rPr>
              <w:t>20</w:t>
            </w:r>
            <w:r>
              <w:rPr>
                <w:rFonts w:hint="eastAsia" w:ascii="宋体" w:hAnsi="宋体" w:cs="宋体"/>
                <w:color w:val="auto"/>
              </w:rPr>
              <w:t>分。</w:t>
            </w:r>
          </w:p>
        </w:tc>
        <w:tc>
          <w:tcPr>
            <w:tcW w:w="3721" w:type="dxa"/>
            <w:tcBorders>
              <w:top w:val="single" w:color="auto" w:sz="8" w:space="0"/>
              <w:left w:val="single" w:color="auto" w:sz="8" w:space="0"/>
              <w:bottom w:val="single" w:color="000000" w:sz="8" w:space="0"/>
              <w:right w:val="single" w:color="auto"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以会计师事务所出具加盖公章的会计报表或审计报告原件，会计报表截止时间不早于</w:t>
            </w:r>
            <w:r>
              <w:rPr>
                <w:rFonts w:ascii="宋体" w:hAnsi="宋体" w:cs="宋体"/>
                <w:color w:val="auto"/>
              </w:rPr>
              <w:t>2022</w:t>
            </w:r>
            <w:r>
              <w:rPr>
                <w:rFonts w:hint="eastAsia" w:ascii="宋体" w:hAnsi="宋体" w:cs="宋体"/>
                <w:color w:val="auto"/>
              </w:rPr>
              <w:t>年</w:t>
            </w:r>
            <w:r>
              <w:rPr>
                <w:rFonts w:ascii="宋体" w:hAnsi="宋体" w:cs="宋体"/>
                <w:color w:val="auto"/>
              </w:rPr>
              <w:t>1</w:t>
            </w:r>
            <w:r>
              <w:rPr>
                <w:rFonts w:hint="eastAsia" w:ascii="宋体" w:hAnsi="宋体" w:cs="宋体"/>
                <w:color w:val="auto"/>
              </w:rPr>
              <w:t>月</w:t>
            </w:r>
            <w:r>
              <w:rPr>
                <w:rFonts w:ascii="宋体" w:hAnsi="宋体" w:cs="宋体"/>
                <w:color w:val="auto"/>
              </w:rPr>
              <w:t>31</w:t>
            </w:r>
            <w:r>
              <w:rPr>
                <w:rFonts w:hint="eastAsia" w:ascii="宋体" w:hAnsi="宋体" w:cs="宋体"/>
                <w:color w:val="auto"/>
              </w:rPr>
              <w:t>日。</w:t>
            </w:r>
          </w:p>
        </w:tc>
      </w:tr>
      <w:tr>
        <w:tblPrEx>
          <w:tblCellMar>
            <w:top w:w="0" w:type="dxa"/>
            <w:left w:w="108" w:type="dxa"/>
            <w:bottom w:w="0" w:type="dxa"/>
            <w:right w:w="108" w:type="dxa"/>
          </w:tblCellMar>
        </w:tblPrEx>
        <w:trPr>
          <w:cantSplit/>
          <w:trHeight w:val="1171" w:hRule="atLeast"/>
          <w:jc w:val="center"/>
        </w:trPr>
        <w:tc>
          <w:tcPr>
            <w:tcW w:w="340"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7</w:t>
            </w:r>
          </w:p>
        </w:tc>
        <w:tc>
          <w:tcPr>
            <w:tcW w:w="746" w:type="dxa"/>
            <w:tcBorders>
              <w:top w:val="single" w:color="auto" w:sz="4"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hint="eastAsia" w:ascii="宋体" w:hAnsi="宋体" w:cs="宋体"/>
                <w:color w:val="auto"/>
              </w:rPr>
              <w:t>发展规划</w:t>
            </w:r>
          </w:p>
        </w:tc>
        <w:tc>
          <w:tcPr>
            <w:tcW w:w="645"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jc w:val="center"/>
              <w:rPr>
                <w:rFonts w:ascii="宋体"/>
                <w:color w:val="auto"/>
              </w:rPr>
            </w:pPr>
            <w:r>
              <w:rPr>
                <w:rFonts w:ascii="宋体" w:hAnsi="宋体" w:cs="宋体"/>
                <w:color w:val="auto"/>
              </w:rPr>
              <w:t>10</w:t>
            </w:r>
            <w:r>
              <w:rPr>
                <w:rFonts w:hint="eastAsia" w:ascii="宋体" w:hAnsi="宋体" w:cs="宋体"/>
                <w:color w:val="auto"/>
              </w:rPr>
              <w:t>分</w:t>
            </w:r>
          </w:p>
        </w:tc>
        <w:tc>
          <w:tcPr>
            <w:tcW w:w="9033"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被征集企业编制未来</w:t>
            </w:r>
            <w:r>
              <w:rPr>
                <w:rFonts w:ascii="宋体" w:hAnsi="宋体" w:cs="宋体"/>
                <w:color w:val="auto"/>
              </w:rPr>
              <w:t>5</w:t>
            </w:r>
            <w:r>
              <w:rPr>
                <w:rFonts w:hint="eastAsia" w:ascii="宋体" w:hAnsi="宋体" w:cs="宋体"/>
                <w:color w:val="auto"/>
              </w:rPr>
              <w:t>年发展规划，对发展规划情况进行评分。发展方向明确、思路清晰的</w:t>
            </w:r>
            <w:r>
              <w:rPr>
                <w:rFonts w:ascii="宋体" w:hAnsi="宋体" w:cs="宋体"/>
                <w:color w:val="auto"/>
              </w:rPr>
              <w:t>7</w:t>
            </w:r>
            <w:r>
              <w:rPr>
                <w:rFonts w:ascii="Cambria" w:hAnsi="宋体" w:cs="Cambria"/>
                <w:color w:val="auto"/>
              </w:rPr>
              <w:t>~</w:t>
            </w:r>
            <w:r>
              <w:rPr>
                <w:rFonts w:ascii="宋体" w:hAnsi="宋体" w:cs="宋体"/>
                <w:color w:val="auto"/>
              </w:rPr>
              <w:t>10</w:t>
            </w:r>
            <w:r>
              <w:rPr>
                <w:rFonts w:hint="eastAsia" w:ascii="宋体" w:hAnsi="宋体" w:cs="宋体"/>
                <w:color w:val="auto"/>
              </w:rPr>
              <w:t>分；发展规划方向思路一般的</w:t>
            </w:r>
            <w:r>
              <w:rPr>
                <w:rFonts w:ascii="宋体" w:hAnsi="宋体" w:cs="宋体"/>
                <w:color w:val="auto"/>
              </w:rPr>
              <w:t>4</w:t>
            </w:r>
            <w:r>
              <w:rPr>
                <w:rFonts w:ascii="Cambria" w:hAnsi="宋体" w:cs="Cambria"/>
                <w:color w:val="auto"/>
              </w:rPr>
              <w:t>~</w:t>
            </w:r>
            <w:r>
              <w:rPr>
                <w:rFonts w:ascii="宋体" w:hAnsi="宋体" w:cs="宋体"/>
                <w:color w:val="auto"/>
              </w:rPr>
              <w:t>6</w:t>
            </w:r>
            <w:r>
              <w:rPr>
                <w:rFonts w:hint="eastAsia" w:ascii="宋体" w:hAnsi="宋体" w:cs="宋体"/>
                <w:color w:val="auto"/>
              </w:rPr>
              <w:t>分；发展规划编制较差的</w:t>
            </w:r>
            <w:r>
              <w:rPr>
                <w:rFonts w:ascii="宋体" w:hAnsi="宋体" w:cs="宋体"/>
                <w:color w:val="auto"/>
              </w:rPr>
              <w:t>1</w:t>
            </w:r>
            <w:r>
              <w:rPr>
                <w:rFonts w:ascii="Cambria" w:hAnsi="宋体" w:cs="Cambria"/>
                <w:color w:val="auto"/>
              </w:rPr>
              <w:t>~</w:t>
            </w:r>
            <w:r>
              <w:rPr>
                <w:rFonts w:ascii="宋体" w:hAnsi="宋体" w:cs="宋体"/>
                <w:color w:val="auto"/>
              </w:rPr>
              <w:t>3</w:t>
            </w:r>
            <w:r>
              <w:rPr>
                <w:rFonts w:hint="eastAsia" w:ascii="宋体" w:hAnsi="宋体" w:cs="宋体"/>
                <w:color w:val="auto"/>
              </w:rPr>
              <w:t>分，未编制的不得分。（发展规划要求：1、应包含人员管理制度，在坚持德才兼备、注重实绩的原则下、重点包含对人员的政治素质、职业素养、业务能力、工作实绩等规划描述。2、应包含企业法人治理结构，突出法人治理结构中的中心地位，包含对中长期发展的决策、经理层人员的选聘、经理层业绩的考核、薪酬管理、工资分配的管理、重大财务事项的管理等规划描述。）</w:t>
            </w:r>
          </w:p>
        </w:tc>
        <w:tc>
          <w:tcPr>
            <w:tcW w:w="3721" w:type="dxa"/>
            <w:tcBorders>
              <w:top w:val="single" w:color="000000" w:sz="8" w:space="0"/>
              <w:left w:val="single" w:color="000000" w:sz="8" w:space="0"/>
              <w:bottom w:val="single" w:color="000000" w:sz="8" w:space="0"/>
              <w:right w:val="single" w:color="000000" w:sz="8" w:space="0"/>
            </w:tcBorders>
            <w:noWrap/>
            <w:vAlign w:val="center"/>
          </w:tcPr>
          <w:p>
            <w:pPr>
              <w:adjustRightInd w:val="0"/>
              <w:snapToGrid w:val="0"/>
              <w:spacing w:line="240" w:lineRule="atLeast"/>
              <w:rPr>
                <w:rFonts w:ascii="宋体"/>
                <w:color w:val="auto"/>
              </w:rPr>
            </w:pPr>
            <w:r>
              <w:rPr>
                <w:rFonts w:hint="eastAsia" w:ascii="宋体" w:hAnsi="宋体" w:cs="宋体"/>
                <w:color w:val="auto"/>
              </w:rPr>
              <w:t>以编制的发展规划文件为评分依据。</w:t>
            </w:r>
          </w:p>
        </w:tc>
      </w:tr>
    </w:tbl>
    <w:p>
      <w:pPr>
        <w:adjustRightInd w:val="0"/>
        <w:snapToGrid w:val="0"/>
        <w:spacing w:line="240" w:lineRule="atLeast"/>
        <w:rPr>
          <w:color w:val="auto"/>
        </w:rPr>
      </w:pPr>
      <w:r>
        <w:rPr>
          <w:rFonts w:hint="eastAsia" w:ascii="宋体" w:hAnsi="宋体" w:cs="宋体"/>
          <w:color w:val="auto"/>
        </w:rPr>
        <w:t>注：本《评分细则》的解释权归征集</w:t>
      </w:r>
      <w:r>
        <w:rPr>
          <w:rFonts w:hint="eastAsia" w:ascii="宋体" w:hAnsi="宋体" w:cs="宋体"/>
          <w:color w:val="auto"/>
          <w:lang w:val="en-US" w:eastAsia="zh-CN"/>
        </w:rPr>
        <w:t>企业</w:t>
      </w:r>
      <w:r>
        <w:rPr>
          <w:rFonts w:hint="eastAsia" w:ascii="宋体" w:hAnsi="宋体" w:cs="宋体"/>
          <w:color w:val="auto"/>
        </w:rPr>
        <w:t>。</w:t>
      </w:r>
    </w:p>
    <w:sectPr>
      <w:pgSz w:w="16838" w:h="11906" w:orient="landscape"/>
      <w:pgMar w:top="1180" w:right="1440" w:bottom="85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180"/>
    <w:rsid w:val="00010FD7"/>
    <w:rsid w:val="00012975"/>
    <w:rsid w:val="0003307A"/>
    <w:rsid w:val="00034858"/>
    <w:rsid w:val="000439AE"/>
    <w:rsid w:val="00061CEA"/>
    <w:rsid w:val="0006208E"/>
    <w:rsid w:val="000A7C41"/>
    <w:rsid w:val="000B7B83"/>
    <w:rsid w:val="000F5E35"/>
    <w:rsid w:val="00104813"/>
    <w:rsid w:val="00122DEB"/>
    <w:rsid w:val="00137182"/>
    <w:rsid w:val="001442B6"/>
    <w:rsid w:val="00163CE8"/>
    <w:rsid w:val="0016413F"/>
    <w:rsid w:val="001653DE"/>
    <w:rsid w:val="0018573C"/>
    <w:rsid w:val="001862F4"/>
    <w:rsid w:val="001D0B58"/>
    <w:rsid w:val="001D344D"/>
    <w:rsid w:val="001D5B3F"/>
    <w:rsid w:val="001E79BD"/>
    <w:rsid w:val="0020245B"/>
    <w:rsid w:val="00211C36"/>
    <w:rsid w:val="002708DC"/>
    <w:rsid w:val="00286683"/>
    <w:rsid w:val="002935D3"/>
    <w:rsid w:val="00295DEF"/>
    <w:rsid w:val="002A3142"/>
    <w:rsid w:val="002A7DBA"/>
    <w:rsid w:val="002B09D9"/>
    <w:rsid w:val="002B6490"/>
    <w:rsid w:val="002B7371"/>
    <w:rsid w:val="002D23EF"/>
    <w:rsid w:val="002E6189"/>
    <w:rsid w:val="002E7BCA"/>
    <w:rsid w:val="002F123A"/>
    <w:rsid w:val="00300508"/>
    <w:rsid w:val="00302DF4"/>
    <w:rsid w:val="00307104"/>
    <w:rsid w:val="00344425"/>
    <w:rsid w:val="00371D5A"/>
    <w:rsid w:val="00387860"/>
    <w:rsid w:val="00394180"/>
    <w:rsid w:val="003A03AD"/>
    <w:rsid w:val="003B0339"/>
    <w:rsid w:val="003B0D63"/>
    <w:rsid w:val="003B608B"/>
    <w:rsid w:val="003C6846"/>
    <w:rsid w:val="003D3C98"/>
    <w:rsid w:val="003D6D40"/>
    <w:rsid w:val="00403203"/>
    <w:rsid w:val="00451061"/>
    <w:rsid w:val="00467848"/>
    <w:rsid w:val="00484C83"/>
    <w:rsid w:val="004977CC"/>
    <w:rsid w:val="004C35AA"/>
    <w:rsid w:val="004C61EC"/>
    <w:rsid w:val="004C79B7"/>
    <w:rsid w:val="004D09B1"/>
    <w:rsid w:val="004D1C78"/>
    <w:rsid w:val="004D3DE2"/>
    <w:rsid w:val="00513DC0"/>
    <w:rsid w:val="005233C6"/>
    <w:rsid w:val="005368C6"/>
    <w:rsid w:val="00542B78"/>
    <w:rsid w:val="00560EE4"/>
    <w:rsid w:val="00572185"/>
    <w:rsid w:val="005A46C8"/>
    <w:rsid w:val="005A5C09"/>
    <w:rsid w:val="005C06D6"/>
    <w:rsid w:val="005C3F1E"/>
    <w:rsid w:val="005C76D8"/>
    <w:rsid w:val="005D4111"/>
    <w:rsid w:val="005E127C"/>
    <w:rsid w:val="005E1375"/>
    <w:rsid w:val="005F5288"/>
    <w:rsid w:val="005F67A1"/>
    <w:rsid w:val="00604686"/>
    <w:rsid w:val="006149ED"/>
    <w:rsid w:val="00617BBE"/>
    <w:rsid w:val="006233FF"/>
    <w:rsid w:val="00643D2A"/>
    <w:rsid w:val="00673B88"/>
    <w:rsid w:val="006A0B47"/>
    <w:rsid w:val="006A38A5"/>
    <w:rsid w:val="007105D5"/>
    <w:rsid w:val="007664F6"/>
    <w:rsid w:val="00771422"/>
    <w:rsid w:val="00787BBC"/>
    <w:rsid w:val="0079286C"/>
    <w:rsid w:val="007952DB"/>
    <w:rsid w:val="007A02C6"/>
    <w:rsid w:val="007A55E9"/>
    <w:rsid w:val="007D7CCC"/>
    <w:rsid w:val="007D7DA6"/>
    <w:rsid w:val="007E0203"/>
    <w:rsid w:val="007F3791"/>
    <w:rsid w:val="00826B63"/>
    <w:rsid w:val="008357C1"/>
    <w:rsid w:val="00835E81"/>
    <w:rsid w:val="008508E0"/>
    <w:rsid w:val="00850D07"/>
    <w:rsid w:val="008564F5"/>
    <w:rsid w:val="00864498"/>
    <w:rsid w:val="008645A4"/>
    <w:rsid w:val="00866EE3"/>
    <w:rsid w:val="008773E1"/>
    <w:rsid w:val="008B5B8F"/>
    <w:rsid w:val="008C6F51"/>
    <w:rsid w:val="008D25A7"/>
    <w:rsid w:val="008D3E61"/>
    <w:rsid w:val="008E374B"/>
    <w:rsid w:val="008F00DA"/>
    <w:rsid w:val="008F61DE"/>
    <w:rsid w:val="009124BA"/>
    <w:rsid w:val="00915771"/>
    <w:rsid w:val="00931C29"/>
    <w:rsid w:val="0097226F"/>
    <w:rsid w:val="009A3C1B"/>
    <w:rsid w:val="009B49DA"/>
    <w:rsid w:val="009C28DD"/>
    <w:rsid w:val="009E1261"/>
    <w:rsid w:val="009E3087"/>
    <w:rsid w:val="009F091C"/>
    <w:rsid w:val="00A01E3B"/>
    <w:rsid w:val="00A05B49"/>
    <w:rsid w:val="00A12996"/>
    <w:rsid w:val="00A14663"/>
    <w:rsid w:val="00A720AE"/>
    <w:rsid w:val="00A85780"/>
    <w:rsid w:val="00A97A66"/>
    <w:rsid w:val="00AA12E5"/>
    <w:rsid w:val="00AB78F0"/>
    <w:rsid w:val="00AD40E0"/>
    <w:rsid w:val="00B01B34"/>
    <w:rsid w:val="00B05049"/>
    <w:rsid w:val="00B21A6C"/>
    <w:rsid w:val="00B36760"/>
    <w:rsid w:val="00B4574D"/>
    <w:rsid w:val="00B71F89"/>
    <w:rsid w:val="00B74FDC"/>
    <w:rsid w:val="00B81A8E"/>
    <w:rsid w:val="00B8231D"/>
    <w:rsid w:val="00B94639"/>
    <w:rsid w:val="00BB3746"/>
    <w:rsid w:val="00BB4151"/>
    <w:rsid w:val="00BC41F4"/>
    <w:rsid w:val="00BC4872"/>
    <w:rsid w:val="00C02D3A"/>
    <w:rsid w:val="00C05D27"/>
    <w:rsid w:val="00C069FF"/>
    <w:rsid w:val="00C06C4F"/>
    <w:rsid w:val="00C10B43"/>
    <w:rsid w:val="00C133F2"/>
    <w:rsid w:val="00C20F88"/>
    <w:rsid w:val="00C32CC8"/>
    <w:rsid w:val="00C45740"/>
    <w:rsid w:val="00C45F5B"/>
    <w:rsid w:val="00C47D0C"/>
    <w:rsid w:val="00C7790E"/>
    <w:rsid w:val="00C81347"/>
    <w:rsid w:val="00C81927"/>
    <w:rsid w:val="00C82A03"/>
    <w:rsid w:val="00C82F23"/>
    <w:rsid w:val="00C90E66"/>
    <w:rsid w:val="00C91362"/>
    <w:rsid w:val="00CB6D09"/>
    <w:rsid w:val="00CC1E30"/>
    <w:rsid w:val="00CC4673"/>
    <w:rsid w:val="00CF3D33"/>
    <w:rsid w:val="00D35736"/>
    <w:rsid w:val="00D50528"/>
    <w:rsid w:val="00D57082"/>
    <w:rsid w:val="00D80259"/>
    <w:rsid w:val="00D82792"/>
    <w:rsid w:val="00D8550D"/>
    <w:rsid w:val="00DA40EF"/>
    <w:rsid w:val="00DA4F5D"/>
    <w:rsid w:val="00DB3090"/>
    <w:rsid w:val="00DB3614"/>
    <w:rsid w:val="00DE51F4"/>
    <w:rsid w:val="00E459B4"/>
    <w:rsid w:val="00E66180"/>
    <w:rsid w:val="00E77C11"/>
    <w:rsid w:val="00E823B6"/>
    <w:rsid w:val="00E86584"/>
    <w:rsid w:val="00EA2A92"/>
    <w:rsid w:val="00EA4BA5"/>
    <w:rsid w:val="00EC7AB6"/>
    <w:rsid w:val="00EE41E0"/>
    <w:rsid w:val="00EE4F91"/>
    <w:rsid w:val="00EE6617"/>
    <w:rsid w:val="00EF30AA"/>
    <w:rsid w:val="00F35887"/>
    <w:rsid w:val="00F727EE"/>
    <w:rsid w:val="00F802ED"/>
    <w:rsid w:val="00F95F40"/>
    <w:rsid w:val="00F96AD3"/>
    <w:rsid w:val="00F97F78"/>
    <w:rsid w:val="00FB0DC1"/>
    <w:rsid w:val="00FB1BF0"/>
    <w:rsid w:val="00FB2400"/>
    <w:rsid w:val="00FD7032"/>
    <w:rsid w:val="00FE5B7A"/>
    <w:rsid w:val="010E68CF"/>
    <w:rsid w:val="017B0954"/>
    <w:rsid w:val="02132619"/>
    <w:rsid w:val="026422D6"/>
    <w:rsid w:val="02B80A50"/>
    <w:rsid w:val="02B81E51"/>
    <w:rsid w:val="03A07711"/>
    <w:rsid w:val="05643F46"/>
    <w:rsid w:val="066061F0"/>
    <w:rsid w:val="06F61DDE"/>
    <w:rsid w:val="09751C86"/>
    <w:rsid w:val="0A216BE1"/>
    <w:rsid w:val="0AAC4896"/>
    <w:rsid w:val="0AEC04FE"/>
    <w:rsid w:val="0B6F2DB7"/>
    <w:rsid w:val="0CEE65A6"/>
    <w:rsid w:val="0D304768"/>
    <w:rsid w:val="0ECB7846"/>
    <w:rsid w:val="0F022E27"/>
    <w:rsid w:val="0F5B0382"/>
    <w:rsid w:val="0FD1294C"/>
    <w:rsid w:val="0FFB29E4"/>
    <w:rsid w:val="104B3DB5"/>
    <w:rsid w:val="10AB6C8A"/>
    <w:rsid w:val="11673D27"/>
    <w:rsid w:val="11843649"/>
    <w:rsid w:val="11E0417B"/>
    <w:rsid w:val="14B05523"/>
    <w:rsid w:val="1604479E"/>
    <w:rsid w:val="17395CA9"/>
    <w:rsid w:val="17823D1A"/>
    <w:rsid w:val="17C35AAE"/>
    <w:rsid w:val="17E27D59"/>
    <w:rsid w:val="194B09D2"/>
    <w:rsid w:val="19662B75"/>
    <w:rsid w:val="198941FA"/>
    <w:rsid w:val="1A222A37"/>
    <w:rsid w:val="1A3F6A2C"/>
    <w:rsid w:val="1B6D7865"/>
    <w:rsid w:val="1BEA3242"/>
    <w:rsid w:val="1C1425D6"/>
    <w:rsid w:val="1C9D4D5C"/>
    <w:rsid w:val="1D0E7D7F"/>
    <w:rsid w:val="1D2B206F"/>
    <w:rsid w:val="1D426074"/>
    <w:rsid w:val="1F0A4C98"/>
    <w:rsid w:val="20916901"/>
    <w:rsid w:val="2267763C"/>
    <w:rsid w:val="22D95533"/>
    <w:rsid w:val="233901C8"/>
    <w:rsid w:val="24C23FCF"/>
    <w:rsid w:val="25020935"/>
    <w:rsid w:val="26EB1378"/>
    <w:rsid w:val="28CF2AEF"/>
    <w:rsid w:val="28F1746D"/>
    <w:rsid w:val="298437D9"/>
    <w:rsid w:val="29A83FD9"/>
    <w:rsid w:val="2AAC43A5"/>
    <w:rsid w:val="2B357873"/>
    <w:rsid w:val="2B804852"/>
    <w:rsid w:val="2CB55340"/>
    <w:rsid w:val="2E543031"/>
    <w:rsid w:val="2FC543E7"/>
    <w:rsid w:val="31512338"/>
    <w:rsid w:val="31BC06D8"/>
    <w:rsid w:val="321A17E7"/>
    <w:rsid w:val="35B446D1"/>
    <w:rsid w:val="35D90364"/>
    <w:rsid w:val="36AE574E"/>
    <w:rsid w:val="395309CF"/>
    <w:rsid w:val="39B61F39"/>
    <w:rsid w:val="3B6305C6"/>
    <w:rsid w:val="3CFF2FAA"/>
    <w:rsid w:val="3D2658C0"/>
    <w:rsid w:val="3DFB15DD"/>
    <w:rsid w:val="3E0B37E1"/>
    <w:rsid w:val="3ED031AE"/>
    <w:rsid w:val="3F8C2233"/>
    <w:rsid w:val="417E4813"/>
    <w:rsid w:val="4192395F"/>
    <w:rsid w:val="44DA2B4B"/>
    <w:rsid w:val="46595836"/>
    <w:rsid w:val="46DD3603"/>
    <w:rsid w:val="49A25B50"/>
    <w:rsid w:val="4A077A04"/>
    <w:rsid w:val="4B835C7F"/>
    <w:rsid w:val="4BAA1FBC"/>
    <w:rsid w:val="4C7A6718"/>
    <w:rsid w:val="4D660165"/>
    <w:rsid w:val="4DEE2AB3"/>
    <w:rsid w:val="4E57201F"/>
    <w:rsid w:val="4EC218FD"/>
    <w:rsid w:val="4F150D98"/>
    <w:rsid w:val="50BE4F61"/>
    <w:rsid w:val="50D8250C"/>
    <w:rsid w:val="52243EAA"/>
    <w:rsid w:val="5298634D"/>
    <w:rsid w:val="534868FC"/>
    <w:rsid w:val="54271073"/>
    <w:rsid w:val="54CC204A"/>
    <w:rsid w:val="55034906"/>
    <w:rsid w:val="550F14E3"/>
    <w:rsid w:val="559C28E1"/>
    <w:rsid w:val="55AD59CC"/>
    <w:rsid w:val="57261EA6"/>
    <w:rsid w:val="573133C6"/>
    <w:rsid w:val="58FF5765"/>
    <w:rsid w:val="59851E1E"/>
    <w:rsid w:val="5AC458C8"/>
    <w:rsid w:val="5C113AF7"/>
    <w:rsid w:val="5EE375E8"/>
    <w:rsid w:val="6216514C"/>
    <w:rsid w:val="62A03DF3"/>
    <w:rsid w:val="63453A82"/>
    <w:rsid w:val="63B26CED"/>
    <w:rsid w:val="652E4024"/>
    <w:rsid w:val="65420AAA"/>
    <w:rsid w:val="656F03BB"/>
    <w:rsid w:val="65D41A03"/>
    <w:rsid w:val="67AC297F"/>
    <w:rsid w:val="68887B61"/>
    <w:rsid w:val="6A157CF6"/>
    <w:rsid w:val="6AB358DF"/>
    <w:rsid w:val="6B4A13DC"/>
    <w:rsid w:val="6BD53E8C"/>
    <w:rsid w:val="6C335661"/>
    <w:rsid w:val="6DBE4FDC"/>
    <w:rsid w:val="6E0837B7"/>
    <w:rsid w:val="7165003B"/>
    <w:rsid w:val="71743CB2"/>
    <w:rsid w:val="721F3DC1"/>
    <w:rsid w:val="73106DFE"/>
    <w:rsid w:val="739E30EE"/>
    <w:rsid w:val="73BD3B2F"/>
    <w:rsid w:val="73E404AF"/>
    <w:rsid w:val="740615E0"/>
    <w:rsid w:val="75FB434C"/>
    <w:rsid w:val="77272C70"/>
    <w:rsid w:val="79176F7D"/>
    <w:rsid w:val="79792B64"/>
    <w:rsid w:val="798059D1"/>
    <w:rsid w:val="7AE16F0A"/>
    <w:rsid w:val="7B700ADF"/>
    <w:rsid w:val="7BE7446D"/>
    <w:rsid w:val="7C7B316A"/>
    <w:rsid w:val="7CE17D3B"/>
    <w:rsid w:val="7D0079DA"/>
    <w:rsid w:val="7D1B17F3"/>
    <w:rsid w:val="7E1E5EED"/>
    <w:rsid w:val="7E8E2661"/>
    <w:rsid w:val="7F364776"/>
    <w:rsid w:val="7F643AAA"/>
    <w:rsid w:val="7F7E21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locked/>
    <w:uiPriority w:val="99"/>
    <w:rPr>
      <w:kern w:val="2"/>
      <w:sz w:val="18"/>
      <w:szCs w:val="18"/>
    </w:rPr>
  </w:style>
  <w:style w:type="character" w:customStyle="1" w:styleId="8">
    <w:name w:val="页脚 Char"/>
    <w:basedOn w:val="6"/>
    <w:link w:val="3"/>
    <w:semiHidden/>
    <w:qFormat/>
    <w:locked/>
    <w:uiPriority w:val="99"/>
    <w:rPr>
      <w:rFonts w:ascii="Times New Roman" w:hAnsi="Times New Roman" w:cs="Times New Roman"/>
      <w:kern w:val="2"/>
      <w:sz w:val="18"/>
      <w:szCs w:val="18"/>
    </w:rPr>
  </w:style>
  <w:style w:type="character" w:customStyle="1" w:styleId="9">
    <w:name w:val="页眉 Char"/>
    <w:basedOn w:val="6"/>
    <w:link w:val="4"/>
    <w:semiHidden/>
    <w:qFormat/>
    <w:locked/>
    <w:uiPriority w:val="99"/>
    <w:rPr>
      <w:rFonts w:ascii="Times New Roman" w:hAnsi="Times New Roman" w:cs="Times New Roman"/>
      <w:kern w:val="2"/>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Company>
  <Pages>2</Pages>
  <Words>182</Words>
  <Characters>1043</Characters>
  <Lines>8</Lines>
  <Paragraphs>2</Paragraphs>
  <TotalTime>16</TotalTime>
  <ScaleCrop>false</ScaleCrop>
  <LinksUpToDate>false</LinksUpToDate>
  <CharactersWithSpaces>1223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2021-01-17T09:08:00Z</dcterms:created>
  <dc:creator>Administrator</dc:creator>
  <cp:lastModifiedBy>束江涛</cp:lastModifiedBy>
  <cp:lastPrinted>2021-02-25T09:40:00Z</cp:lastPrinted>
  <dcterms:modified xsi:type="dcterms:W3CDTF">2022-03-03T09:54:08Z</dcterms:modified>
  <dc:title>施工企业股权合作项目评分细则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9B76DBBEA91B434D844D769125A8939C</vt:lpwstr>
  </property>
</Properties>
</file>